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098/2017.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05 de setembro de 2017.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Ao Exmo. Sr. Secretário de Saúde do Estado de Pernambuco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José Iran Costa Junior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Rua Dona Maria Augusta Nogueira, 519, Bongi, Recife/PE, BR - CEP 50.751-530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 Secretário,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Tendo em vista o Programa de Pactuação Integrada, o qual atende a Assistência Média e Alta Complexidade Hospitalar e Ambulatorial, foi verificado através da Portaria Nº 149, de 17 de janeiro de 2017 o remanejamento de R$ 391.597,13 (trezentos e noventa e um mil quinhentos e noventa e sete reais e treze centavos) do montante destinado ao Município de Cumaru, para outros municípios, no sentido de complementar o atendimento respectivo.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Ocorre que, do montante acima indicado, R$ 284.464,63 (duzentos e oitenta e quatro mil quatrocentos e sessenta e quatro reais e sessenta e três centavos) correspondem a ASSISTÊNCIA MÉDIA COMPLEXIDADE, sendo tal valor distribuído para os municípios de Caruaru, Lajedo, Carpina, Limoeiro e Recife.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sentido, não consta qualquer registro de utilização dos serviços de ASSISTÊNCIA MÉDIA COMPLEXIDADE pelos cidadãos do Município de Cumaru, não havendo razão para que haja tal desconto e ainda mais, acarretando considerável perda deste valor que poderia ser utilizado para investimentos na área da saúde local.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assim, requeiro que seja excluído o Município de Cumaru do repasse de R$ 284.464,63 (duzentos e oitenta e quatro mil quatrocentos e sessenta e quatro reais e sessenta e três centavos) para atendimento complementar da ASSISTÊNCIA MÉDIA COMPLEXIDADE, sendo tal valor repassado integralmente para esta edilidade.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a gentileza de envio da resposta sobre o atendimento ou não do ora requerido no prazo máximo de 10 (dias), no sentido de minimizar os prejuízos ao erário municipal, advindos da subtração do montante indicado da receita destinada à saúde.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o que se apresenta no momento, elevo votos de estima e apreço.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ab/>
        <w:tab/>
        <w:t xml:space="preserve">Atenciosamente,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9">
      <w:pPr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240" w:lineRule="auto"/>
      <w:contextualSpacing w:val="0"/>
      <w:jc w:val="center"/>
      <w:rPr/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